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3B35" w:rsidRDefault="00E53B35" w:rsidP="00315AE2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Cs w:val="22"/>
        </w:rPr>
      </w:pPr>
    </w:p>
    <w:p w:rsidR="00315AE2" w:rsidRPr="00074926" w:rsidRDefault="00315AE2" w:rsidP="00315AE2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Cs w:val="22"/>
        </w:rPr>
      </w:pPr>
      <w:r w:rsidRPr="00074926">
        <w:rPr>
          <w:rFonts w:ascii="Arial" w:eastAsia="Batang" w:hAnsi="Arial" w:cs="Arial"/>
          <w:b/>
          <w:bCs/>
          <w:szCs w:val="22"/>
        </w:rPr>
        <w:t>3GPP TSG RAN WG1 Meeting #9</w:t>
      </w:r>
      <w:r w:rsidR="00537CD2">
        <w:rPr>
          <w:rFonts w:ascii="Arial" w:eastAsia="Batang" w:hAnsi="Arial" w:cs="Arial"/>
          <w:b/>
          <w:bCs/>
          <w:szCs w:val="22"/>
        </w:rPr>
        <w:t>6</w:t>
      </w:r>
      <w:r w:rsidRPr="00074926">
        <w:rPr>
          <w:rFonts w:ascii="Arial" w:eastAsia="Batang" w:hAnsi="Arial" w:cs="Arial"/>
          <w:b/>
          <w:bCs/>
          <w:szCs w:val="22"/>
        </w:rPr>
        <w:tab/>
      </w:r>
      <w:r w:rsidRPr="00074926">
        <w:rPr>
          <w:rFonts w:ascii="Arial" w:eastAsia="Batang" w:hAnsi="Arial" w:cs="Arial"/>
          <w:b/>
          <w:bCs/>
          <w:szCs w:val="22"/>
        </w:rPr>
        <w:tab/>
      </w:r>
      <w:r w:rsidRPr="00C07F9F">
        <w:rPr>
          <w:rFonts w:ascii="Arial" w:eastAsia="Batang" w:hAnsi="Arial" w:cs="Arial"/>
          <w:b/>
          <w:bCs/>
          <w:szCs w:val="22"/>
        </w:rPr>
        <w:t>R1-</w:t>
      </w:r>
      <w:r w:rsidR="00444281" w:rsidRPr="00C07F9F">
        <w:rPr>
          <w:rFonts w:ascii="Arial" w:eastAsia="Batang" w:hAnsi="Arial" w:cs="Arial"/>
          <w:b/>
          <w:bCs/>
          <w:szCs w:val="22"/>
        </w:rPr>
        <w:t>1</w:t>
      </w:r>
      <w:r w:rsidR="00537CD2">
        <w:rPr>
          <w:rFonts w:ascii="Arial" w:eastAsia="Batang" w:hAnsi="Arial" w:cs="Arial"/>
          <w:b/>
          <w:bCs/>
          <w:szCs w:val="22"/>
        </w:rPr>
        <w:t>902195</w:t>
      </w:r>
    </w:p>
    <w:p w:rsidR="00315AE2" w:rsidRPr="00074926" w:rsidRDefault="00537CD2" w:rsidP="00315AE2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Cs w:val="22"/>
          <w:lang w:eastAsia="ja-JP"/>
        </w:rPr>
      </w:pPr>
      <w:r>
        <w:rPr>
          <w:rFonts w:ascii="Arial" w:eastAsia="MS Mincho" w:hAnsi="Arial" w:cs="Arial"/>
          <w:b/>
          <w:bCs/>
          <w:szCs w:val="22"/>
          <w:lang w:eastAsia="ja-JP"/>
        </w:rPr>
        <w:t>Athens</w:t>
      </w:r>
      <w:r w:rsidR="00074926" w:rsidRPr="00074926">
        <w:rPr>
          <w:rFonts w:ascii="Arial" w:eastAsia="MS Mincho" w:hAnsi="Arial" w:cs="Arial"/>
          <w:b/>
          <w:bCs/>
          <w:szCs w:val="22"/>
          <w:lang w:eastAsia="ja-JP"/>
        </w:rPr>
        <w:t xml:space="preserve">, </w:t>
      </w:r>
      <w:r w:rsidR="00B22774">
        <w:rPr>
          <w:rFonts w:ascii="Arial" w:eastAsia="MS Mincho" w:hAnsi="Arial" w:cs="Arial"/>
          <w:b/>
          <w:bCs/>
          <w:szCs w:val="22"/>
          <w:lang w:eastAsia="ja-JP"/>
        </w:rPr>
        <w:t>Greece. 25 February – 1 March 2019</w:t>
      </w:r>
      <w:r w:rsidR="00315AE2" w:rsidRPr="00074926">
        <w:rPr>
          <w:rFonts w:ascii="Arial" w:eastAsia="MS Mincho" w:hAnsi="Arial" w:cs="Arial"/>
          <w:b/>
          <w:bCs/>
          <w:szCs w:val="22"/>
          <w:lang w:eastAsia="ja-JP"/>
        </w:rPr>
        <w:t xml:space="preserve"> </w:t>
      </w:r>
    </w:p>
    <w:p w:rsidR="00315AE2" w:rsidRDefault="00315AE2" w:rsidP="005C689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:rsidR="00074926" w:rsidRPr="00074926" w:rsidRDefault="00074926" w:rsidP="00074926">
      <w:pPr>
        <w:tabs>
          <w:tab w:val="left" w:pos="1800"/>
        </w:tabs>
        <w:spacing w:after="60"/>
        <w:rPr>
          <w:rFonts w:eastAsia="MS Mincho"/>
          <w:b/>
          <w:lang w:val="en-US"/>
        </w:rPr>
      </w:pPr>
      <w:r w:rsidRPr="00074926">
        <w:rPr>
          <w:b/>
          <w:lang w:val="en-US"/>
        </w:rPr>
        <w:t>Agenda Item:</w:t>
      </w:r>
      <w:r w:rsidRPr="00074926">
        <w:rPr>
          <w:b/>
          <w:lang w:val="en-US"/>
        </w:rPr>
        <w:tab/>
      </w:r>
      <w:r w:rsidR="00444281" w:rsidRPr="00444281">
        <w:rPr>
          <w:b/>
          <w:lang w:val="en-US"/>
        </w:rPr>
        <w:t>6.2.1.</w:t>
      </w:r>
      <w:r w:rsidR="004A3B2B">
        <w:rPr>
          <w:b/>
          <w:lang w:val="en-US"/>
        </w:rPr>
        <w:t>6</w:t>
      </w:r>
    </w:p>
    <w:p w:rsidR="00074926" w:rsidRPr="00074926" w:rsidRDefault="00074926" w:rsidP="00074926">
      <w:pPr>
        <w:tabs>
          <w:tab w:val="left" w:pos="1800"/>
        </w:tabs>
        <w:spacing w:after="60"/>
        <w:rPr>
          <w:b/>
          <w:lang w:val="en-US"/>
        </w:rPr>
      </w:pPr>
      <w:r w:rsidRPr="00074926">
        <w:rPr>
          <w:b/>
          <w:lang w:val="en-US"/>
        </w:rPr>
        <w:t xml:space="preserve">Source: </w:t>
      </w:r>
      <w:r w:rsidRPr="00074926">
        <w:rPr>
          <w:b/>
          <w:lang w:val="en-US"/>
        </w:rPr>
        <w:tab/>
        <w:t xml:space="preserve">Sony </w:t>
      </w:r>
    </w:p>
    <w:p w:rsidR="00074926" w:rsidRPr="00074926" w:rsidRDefault="00074926" w:rsidP="00074926">
      <w:pPr>
        <w:tabs>
          <w:tab w:val="left" w:pos="1800"/>
        </w:tabs>
        <w:spacing w:after="60"/>
        <w:ind w:left="1800" w:hanging="1800"/>
        <w:rPr>
          <w:b/>
          <w:lang w:val="en-US"/>
        </w:rPr>
      </w:pPr>
      <w:r w:rsidRPr="00074926">
        <w:rPr>
          <w:b/>
          <w:color w:val="000000"/>
          <w:lang w:val="en-US"/>
        </w:rPr>
        <w:t>Title:</w:t>
      </w:r>
      <w:r w:rsidRPr="00074926">
        <w:rPr>
          <w:b/>
          <w:color w:val="000000"/>
          <w:lang w:val="en-US"/>
        </w:rPr>
        <w:tab/>
      </w:r>
      <w:r w:rsidR="00B22774">
        <w:rPr>
          <w:b/>
          <w:color w:val="000000"/>
          <w:lang w:val="en-US"/>
        </w:rPr>
        <w:t>On</w:t>
      </w:r>
      <w:r w:rsidR="004A3B2B" w:rsidRPr="004A3B2B">
        <w:rPr>
          <w:b/>
          <w:color w:val="000000"/>
          <w:lang w:val="en-US"/>
        </w:rPr>
        <w:t xml:space="preserve"> MPDCCH performance improvement</w:t>
      </w:r>
      <w:r w:rsidR="00444281" w:rsidRPr="00444281" w:rsidDel="00444281">
        <w:rPr>
          <w:b/>
          <w:color w:val="000000"/>
          <w:lang w:val="en-US"/>
        </w:rPr>
        <w:t xml:space="preserve"> </w:t>
      </w:r>
    </w:p>
    <w:p w:rsidR="00074926" w:rsidRPr="00074926" w:rsidRDefault="00074926" w:rsidP="00074926">
      <w:pPr>
        <w:tabs>
          <w:tab w:val="left" w:pos="1800"/>
        </w:tabs>
        <w:spacing w:after="60"/>
        <w:rPr>
          <w:b/>
        </w:rPr>
      </w:pPr>
      <w:r w:rsidRPr="00074926">
        <w:rPr>
          <w:b/>
        </w:rPr>
        <w:t>Document for:</w:t>
      </w:r>
      <w:r w:rsidRPr="00074926">
        <w:rPr>
          <w:b/>
        </w:rPr>
        <w:tab/>
        <w:t>Discussion / decision</w:t>
      </w:r>
    </w:p>
    <w:p w:rsidR="00074926" w:rsidRDefault="00074926" w:rsidP="00074926">
      <w:pPr>
        <w:pStyle w:val="Heading1"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bookmarkStart w:id="0" w:name="OLE_LINK1"/>
      <w:bookmarkStart w:id="1" w:name="OLE_LINK2"/>
      <w:r>
        <w:t xml:space="preserve">Introduction </w:t>
      </w:r>
    </w:p>
    <w:bookmarkEnd w:id="0"/>
    <w:bookmarkEnd w:id="1"/>
    <w:p w:rsidR="00446058" w:rsidRDefault="00446058" w:rsidP="00446058">
      <w:pPr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>The Release-16 WID on additional enhancements for eMTC was approved in RAN#80. The WID included the following objectives:</w:t>
      </w:r>
    </w:p>
    <w:p w:rsidR="004A3B2B" w:rsidRPr="005F1E24" w:rsidRDefault="004A3B2B" w:rsidP="004A3B2B">
      <w:pPr>
        <w:spacing w:after="0"/>
        <w:rPr>
          <w:b/>
          <w:bCs/>
          <w:sz w:val="20"/>
        </w:rPr>
      </w:pPr>
      <w:r w:rsidRPr="005F1E24">
        <w:rPr>
          <w:b/>
          <w:bCs/>
          <w:sz w:val="20"/>
        </w:rPr>
        <w:t>Improved DL transmission efficiency and/or UE power consumption:</w:t>
      </w:r>
    </w:p>
    <w:p w:rsidR="004A3B2B" w:rsidRPr="005F1E24" w:rsidRDefault="004A3B2B" w:rsidP="004A3B2B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sz w:val="20"/>
        </w:rPr>
      </w:pPr>
      <w:r w:rsidRPr="005F1E24">
        <w:rPr>
          <w:bCs/>
          <w:sz w:val="20"/>
        </w:rPr>
        <w:t>Specify support for mobile-terminated (MT) early data transmission (EDT) [RAN2, RAN3]</w:t>
      </w:r>
    </w:p>
    <w:p w:rsidR="004A3B2B" w:rsidRPr="005F1E24" w:rsidRDefault="004A3B2B" w:rsidP="004A3B2B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sz w:val="20"/>
        </w:rPr>
      </w:pPr>
      <w:bookmarkStart w:id="2" w:name="_Hlk515907705"/>
      <w:r w:rsidRPr="005F1E24">
        <w:rPr>
          <w:bCs/>
          <w:sz w:val="20"/>
        </w:rPr>
        <w:t>Specify quality report in MSG3 at least for EDT [RAN1, RAN2]</w:t>
      </w:r>
    </w:p>
    <w:bookmarkEnd w:id="2"/>
    <w:p w:rsidR="004A3B2B" w:rsidRPr="005F1E24" w:rsidRDefault="004A3B2B" w:rsidP="004A3B2B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sz w:val="20"/>
        </w:rPr>
      </w:pPr>
      <w:r w:rsidRPr="005F1E24">
        <w:rPr>
          <w:bCs/>
          <w:sz w:val="20"/>
        </w:rPr>
        <w:t>Specify MPDCCH performance improvement by using CRS at least for connected mode [RAN1, RAN2, RAN4]</w:t>
      </w:r>
    </w:p>
    <w:p w:rsidR="004A3B2B" w:rsidRPr="005F1E24" w:rsidRDefault="004A3B2B" w:rsidP="004A3B2B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sz w:val="20"/>
        </w:rPr>
      </w:pPr>
      <w:r w:rsidRPr="005F1E24">
        <w:rPr>
          <w:bCs/>
          <w:sz w:val="20"/>
        </w:rPr>
        <w:t>Specify support for UE-group wake-up signal (WUS) [RAN1, RAN2, RAN4]</w:t>
      </w:r>
    </w:p>
    <w:p w:rsidR="00446058" w:rsidRDefault="00446058" w:rsidP="00446058">
      <w:pPr>
        <w:numPr>
          <w:ilvl w:val="1"/>
          <w:numId w:val="28"/>
        </w:numPr>
        <w:overflowPunct w:val="0"/>
        <w:autoSpaceDE w:val="0"/>
        <w:autoSpaceDN w:val="0"/>
        <w:adjustRightInd w:val="0"/>
        <w:spacing w:after="180"/>
        <w:textAlignment w:val="baseline"/>
        <w:rPr>
          <w:bCs/>
        </w:rPr>
      </w:pPr>
    </w:p>
    <w:p w:rsidR="004A3B2B" w:rsidRPr="00543E15" w:rsidRDefault="006346E4" w:rsidP="004A3B2B">
      <w:pPr>
        <w:rPr>
          <w:lang w:eastAsia="x-none"/>
        </w:rPr>
      </w:pPr>
      <w:r>
        <w:rPr>
          <w:lang w:eastAsia="x-none"/>
        </w:rPr>
        <w:t>The following agreements that are relevant to this document were made at RAN1#9</w:t>
      </w:r>
      <w:r w:rsidR="00CB0B6A">
        <w:rPr>
          <w:lang w:eastAsia="x-none"/>
        </w:rPr>
        <w:t>5</w:t>
      </w:r>
      <w:r>
        <w:rPr>
          <w:lang w:eastAsia="x-none"/>
        </w:rPr>
        <w:t xml:space="preserve"> in </w:t>
      </w:r>
      <w:r w:rsidR="00CB0B6A">
        <w:rPr>
          <w:lang w:eastAsia="x-none"/>
        </w:rPr>
        <w:t>Spokane</w:t>
      </w:r>
      <w:r>
        <w:rPr>
          <w:lang w:eastAsia="x-none"/>
        </w:rPr>
        <w:t>:</w:t>
      </w:r>
    </w:p>
    <w:p w:rsidR="004A3B2B" w:rsidRDefault="004A3B2B" w:rsidP="004A3B2B">
      <w:pPr>
        <w:rPr>
          <w:lang w:eastAsia="x-none"/>
        </w:rPr>
      </w:pPr>
    </w:p>
    <w:p w:rsidR="00CB0B6A" w:rsidRPr="000F07E1" w:rsidRDefault="00CB0B6A" w:rsidP="00CB0B6A">
      <w:pPr>
        <w:spacing w:line="276" w:lineRule="auto"/>
        <w:rPr>
          <w:highlight w:val="green"/>
        </w:rPr>
      </w:pPr>
      <w:r w:rsidRPr="000F07E1">
        <w:rPr>
          <w:b/>
          <w:highlight w:val="green"/>
        </w:rPr>
        <w:t xml:space="preserve">Agreement </w:t>
      </w:r>
    </w:p>
    <w:p w:rsidR="00CB0B6A" w:rsidRPr="000F07E1" w:rsidRDefault="00CB0B6A" w:rsidP="00CB0B6A">
      <w:pPr>
        <w:spacing w:line="276" w:lineRule="auto"/>
      </w:pPr>
      <w:r w:rsidRPr="000F07E1">
        <w:t>For distributed MPDCCH, predefined mapping between CRS ports and MPDCCH DMRS ports is supported.</w:t>
      </w:r>
    </w:p>
    <w:p w:rsidR="00CB0B6A" w:rsidRPr="005B7A8D" w:rsidRDefault="00CB0B6A" w:rsidP="00CB0B6A">
      <w:pPr>
        <w:pStyle w:val="BodyText"/>
        <w:spacing w:after="0"/>
        <w:rPr>
          <w:b/>
        </w:rPr>
      </w:pPr>
    </w:p>
    <w:p w:rsidR="00CB0B6A" w:rsidRPr="00C24442" w:rsidRDefault="00CB0B6A" w:rsidP="00CB0B6A">
      <w:pPr>
        <w:rPr>
          <w:highlight w:val="green"/>
        </w:rPr>
      </w:pPr>
      <w:r w:rsidRPr="00C24442">
        <w:rPr>
          <w:b/>
          <w:highlight w:val="green"/>
        </w:rPr>
        <w:t xml:space="preserve">Agreement </w:t>
      </w:r>
    </w:p>
    <w:p w:rsidR="00CB0B6A" w:rsidRPr="000F07E1" w:rsidRDefault="00CB0B6A" w:rsidP="00CB0B6A">
      <w:pPr>
        <w:spacing w:line="276" w:lineRule="auto"/>
      </w:pPr>
      <w:r w:rsidRPr="00C24442">
        <w:t>For localized/distributed MPDCCH, the predefined mapping between CRS ports and MPDCCH ports is based on precoder cycling across time and frequency domain. FFS the details.</w:t>
      </w:r>
      <w:r w:rsidRPr="00CB0B6A">
        <w:t xml:space="preserve"> </w:t>
      </w:r>
    </w:p>
    <w:p w:rsidR="00CB0B6A" w:rsidRPr="008D258E" w:rsidRDefault="00CB0B6A" w:rsidP="00CB0B6A">
      <w:pPr>
        <w:rPr>
          <w:highlight w:val="green"/>
        </w:rPr>
      </w:pPr>
      <w:r w:rsidRPr="008D258E">
        <w:rPr>
          <w:b/>
          <w:highlight w:val="green"/>
        </w:rPr>
        <w:t>Agreement</w:t>
      </w:r>
    </w:p>
    <w:p w:rsidR="00CB0B6A" w:rsidRPr="008D258E" w:rsidRDefault="00CB0B6A" w:rsidP="00CB0B6A">
      <w:r w:rsidRPr="008D258E">
        <w:t>Reuse existing LTE Rel-8 codebooks for precoding of MPDCCH is the starting point.</w:t>
      </w:r>
    </w:p>
    <w:p w:rsidR="00CB0B6A" w:rsidRPr="008D258E" w:rsidRDefault="00CB0B6A" w:rsidP="00CB0B6A">
      <w:pPr>
        <w:numPr>
          <w:ilvl w:val="0"/>
          <w:numId w:val="40"/>
        </w:numPr>
        <w:spacing w:after="0"/>
        <w:rPr>
          <w:lang w:eastAsia="x-none"/>
        </w:rPr>
      </w:pPr>
      <w:r w:rsidRPr="008D258E">
        <w:rPr>
          <w:lang w:eastAsia="x-none"/>
        </w:rPr>
        <w:t>Unless performance gains are idenfied further optimization on top of Rel-8 codebook will not be introduced</w:t>
      </w:r>
    </w:p>
    <w:p w:rsidR="00CB0B6A" w:rsidRDefault="00CB0B6A" w:rsidP="00CB0B6A">
      <w:pPr>
        <w:pStyle w:val="BodyText"/>
        <w:spacing w:after="0"/>
        <w:rPr>
          <w:lang w:eastAsia="x-none"/>
        </w:rPr>
      </w:pPr>
    </w:p>
    <w:p w:rsidR="006346E4" w:rsidRDefault="006346E4" w:rsidP="004A3B2B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This document considers the </w:t>
      </w:r>
      <w:r w:rsidR="004A3B2B">
        <w:rPr>
          <w:rFonts w:eastAsia="MS Mincho"/>
          <w:lang w:val="en-US"/>
        </w:rPr>
        <w:t xml:space="preserve">issue of the frequency domain extent over which the DMRS to CRS </w:t>
      </w:r>
      <w:r w:rsidR="00CB0B6A">
        <w:rPr>
          <w:rFonts w:eastAsia="MS Mincho"/>
          <w:lang w:val="en-US"/>
        </w:rPr>
        <w:t xml:space="preserve">precoder cycling </w:t>
      </w:r>
      <w:r w:rsidR="004A3B2B">
        <w:rPr>
          <w:rFonts w:eastAsia="MS Mincho"/>
          <w:lang w:val="en-US"/>
        </w:rPr>
        <w:t>mapping applies, proposing that this mapping allows PRB bundling to be supported</w:t>
      </w:r>
      <w:r>
        <w:rPr>
          <w:rFonts w:eastAsia="MS Mincho"/>
          <w:lang w:val="en-US"/>
        </w:rPr>
        <w:t xml:space="preserve">. </w:t>
      </w:r>
    </w:p>
    <w:p w:rsidR="00CB0B6A" w:rsidRDefault="00CB0B6A" w:rsidP="004A3B2B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A significant part of this Tdoc is a resubmission of </w:t>
      </w:r>
      <w:r>
        <w:t>R1-1812757</w:t>
      </w:r>
      <w:r>
        <w:t xml:space="preserve"> [3].</w:t>
      </w:r>
    </w:p>
    <w:p w:rsidR="007B5EC5" w:rsidRDefault="004A3B2B" w:rsidP="007B5EC5">
      <w:pPr>
        <w:pStyle w:val="Heading1"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Frequency domain extent of DMRS to CRS mapping</w:t>
      </w:r>
    </w:p>
    <w:p w:rsidR="004A3B2B" w:rsidRDefault="004A3B2B" w:rsidP="00AD253E">
      <w:pPr>
        <w:rPr>
          <w:lang w:val="en-US"/>
        </w:rPr>
      </w:pPr>
    </w:p>
    <w:p w:rsidR="004A3B2B" w:rsidRDefault="004A3B2B" w:rsidP="004A3B2B">
      <w:pPr>
        <w:rPr>
          <w:lang w:val="en-US"/>
        </w:rPr>
      </w:pPr>
      <w:r>
        <w:rPr>
          <w:lang w:val="en-US"/>
        </w:rPr>
        <w:t>It has been agreed that there will be a definition of the relationship between the MPDCCH DMRS and CRS</w:t>
      </w:r>
      <w:r w:rsidR="00CB0B6A">
        <w:rPr>
          <w:lang w:val="en-US"/>
        </w:rPr>
        <w:t xml:space="preserve"> based on precoder cycling</w:t>
      </w:r>
      <w:r>
        <w:rPr>
          <w:lang w:val="en-US"/>
        </w:rPr>
        <w:t xml:space="preserve">. This definition will </w:t>
      </w:r>
      <w:r w:rsidR="00CB0B6A">
        <w:rPr>
          <w:lang w:val="en-US"/>
        </w:rPr>
        <w:t>be based on the LTE Rel-8 precoder codebooks.</w:t>
      </w:r>
      <w:r>
        <w:rPr>
          <w:lang w:val="en-US"/>
        </w:rPr>
        <w:t xml:space="preserve"> </w:t>
      </w:r>
      <w:r w:rsidR="00CB0B6A">
        <w:rPr>
          <w:lang w:val="en-US"/>
        </w:rPr>
        <w:t>The specified predefined precoders will define how the</w:t>
      </w:r>
      <w:r>
        <w:rPr>
          <w:lang w:val="en-US"/>
        </w:rPr>
        <w:t xml:space="preserve"> MPDCCH DMRS</w:t>
      </w:r>
      <w:r w:rsidR="00CB0B6A">
        <w:rPr>
          <w:lang w:val="en-US"/>
        </w:rPr>
        <w:t xml:space="preserve"> are precoded relative to the CRS and these definitions will span (be consistent for) a defined time period and a defined frequency extent</w:t>
      </w:r>
      <w:r>
        <w:rPr>
          <w:lang w:val="en-US"/>
        </w:rPr>
        <w:t>.</w:t>
      </w:r>
    </w:p>
    <w:p w:rsidR="004A3B2B" w:rsidRDefault="004A3B2B" w:rsidP="004A3B2B">
      <w:pPr>
        <w:rPr>
          <w:lang w:val="en-US"/>
        </w:rPr>
      </w:pPr>
      <w:r>
        <w:rPr>
          <w:lang w:val="en-US"/>
        </w:rPr>
        <w:t xml:space="preserve">In the Rel-13 eMTC work, most of the companies that simulated MPDCCH performance observed a performance gain when PRB bundling was applied to the MPDCCH, especially in a flat-fading channel such as </w:t>
      </w:r>
      <w:r>
        <w:rPr>
          <w:lang w:val="en-US"/>
        </w:rPr>
        <w:lastRenderedPageBreak/>
        <w:t xml:space="preserve">EPA (example results from [2] are shown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_Ref525943251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>. The simulation</w:t>
      </w:r>
      <w:bookmarkStart w:id="3" w:name="_GoBack"/>
      <w:bookmarkEnd w:id="3"/>
      <w:r>
        <w:rPr>
          <w:lang w:val="en-US"/>
        </w:rPr>
        <w:t xml:space="preserve"> assumptions are detailed in [2]). This PRB bundling allowed for improvement in channel estimation performance, in the same way that cross-subframe channel estimation provides a performance improvement.</w:t>
      </w:r>
    </w:p>
    <w:p w:rsidR="004A3B2B" w:rsidRDefault="004A3B2B" w:rsidP="004A3B2B">
      <w:pPr>
        <w:rPr>
          <w:noProof/>
          <w:lang w:eastAsia="ja-JP"/>
        </w:rPr>
      </w:pPr>
      <w:r w:rsidRPr="0092733B">
        <w:rPr>
          <w:noProof/>
          <w:lang w:eastAsia="ja-JP"/>
        </w:rPr>
        <w:drawing>
          <wp:inline distT="0" distB="0" distL="0" distR="0">
            <wp:extent cx="5715000" cy="38100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3B2B" w:rsidRDefault="004A3B2B" w:rsidP="004A3B2B">
      <w:pPr>
        <w:pStyle w:val="Caption"/>
        <w:jc w:val="center"/>
        <w:rPr>
          <w:lang w:val="en-US"/>
        </w:rPr>
      </w:pPr>
      <w:bookmarkStart w:id="4" w:name="_Ref52594325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4"/>
      <w:r>
        <w:t xml:space="preserve"> – MPDCCH performance gain from cross-PRB channel estimation in EPA at REP64</w:t>
      </w:r>
    </w:p>
    <w:p w:rsidR="004A3B2B" w:rsidRDefault="004A3B2B" w:rsidP="004A3B2B">
      <w:pPr>
        <w:rPr>
          <w:lang w:val="en-US"/>
        </w:rPr>
      </w:pPr>
      <w:r>
        <w:rPr>
          <w:lang w:val="en-US"/>
        </w:rPr>
        <w:t>The definition of the relationship between the MPDCCH DMRS and CRS should allow for PRB bundling</w:t>
      </w:r>
      <w:r w:rsidR="00CB0B6A">
        <w:rPr>
          <w:lang w:val="en-US"/>
        </w:rPr>
        <w:t xml:space="preserve"> to achieve these gains</w:t>
      </w:r>
      <w:r>
        <w:rPr>
          <w:lang w:val="en-US"/>
        </w:rPr>
        <w:t>. The relationship between MPDCCH DMRS and CRS should not be fixed across the whole narrowband (this reduces random beamforming diversity), but should be consistent across a sufficient number of PRBs to allow for cross-PRB channel estimation.</w:t>
      </w:r>
      <w:r w:rsidR="00CB0B6A">
        <w:rPr>
          <w:lang w:val="en-US"/>
        </w:rPr>
        <w:t xml:space="preserve"> The simulation results of [2] indicate that a </w:t>
      </w:r>
      <w:r w:rsidR="00B22774">
        <w:rPr>
          <w:lang w:val="en-US"/>
        </w:rPr>
        <w:t>link level gain of 1-1.5dB is observed with a PRB bundling size of 3 PRBs.</w:t>
      </w:r>
    </w:p>
    <w:p w:rsidR="004A3B2B" w:rsidRDefault="004A3B2B" w:rsidP="004A3B2B">
      <w:pPr>
        <w:rPr>
          <w:lang w:val="en-US"/>
        </w:rPr>
      </w:pPr>
      <w:r w:rsidRPr="005F7A58">
        <w:rPr>
          <w:b/>
          <w:lang w:val="en-US"/>
        </w:rPr>
        <w:t>Proposal</w:t>
      </w:r>
      <w:r>
        <w:rPr>
          <w:b/>
          <w:lang w:val="en-US"/>
        </w:rPr>
        <w:t xml:space="preserve"> 1</w:t>
      </w:r>
      <w:r w:rsidRPr="005F7A58">
        <w:rPr>
          <w:b/>
          <w:lang w:val="en-US"/>
        </w:rPr>
        <w:t xml:space="preserve">: </w:t>
      </w:r>
      <w:r w:rsidR="00B22774">
        <w:rPr>
          <w:b/>
          <w:lang w:val="en-US"/>
        </w:rPr>
        <w:t>The defined precoding cycling for MPDCCH DMRS, when used in conjunction with CRS, supports a PRB bundle size of 3PRB</w:t>
      </w:r>
      <w:r>
        <w:rPr>
          <w:lang w:val="en-US"/>
        </w:rPr>
        <w:t xml:space="preserve">. </w:t>
      </w:r>
    </w:p>
    <w:p w:rsidR="00271D28" w:rsidRDefault="00444281" w:rsidP="00271D28">
      <w:pPr>
        <w:pStyle w:val="Heading1"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Summary of Proposals</w:t>
      </w:r>
    </w:p>
    <w:p w:rsidR="004A3B2B" w:rsidRDefault="004A3B2B" w:rsidP="004A3B2B">
      <w:r>
        <w:t>This document has considered MPDCCH performance improvement for MTC in Rel-16 and makes the following proposals:</w:t>
      </w:r>
    </w:p>
    <w:p w:rsidR="004A3B2B" w:rsidRDefault="00B22774" w:rsidP="004A3B2B">
      <w:pPr>
        <w:rPr>
          <w:bCs/>
          <w:noProof/>
          <w:lang w:val="en-US" w:eastAsia="en-GB"/>
        </w:rPr>
      </w:pPr>
      <w:r w:rsidRPr="005F7A58">
        <w:rPr>
          <w:b/>
          <w:lang w:val="en-US"/>
        </w:rPr>
        <w:t>Proposal</w:t>
      </w:r>
      <w:r>
        <w:rPr>
          <w:b/>
          <w:lang w:val="en-US"/>
        </w:rPr>
        <w:t xml:space="preserve"> 1</w:t>
      </w:r>
      <w:r w:rsidRPr="005F7A58">
        <w:rPr>
          <w:b/>
          <w:lang w:val="en-US"/>
        </w:rPr>
        <w:t xml:space="preserve">: </w:t>
      </w:r>
      <w:r>
        <w:rPr>
          <w:b/>
          <w:lang w:val="en-US"/>
        </w:rPr>
        <w:t>The defined precoding cycling for MPDCCH DMRS, when used in conjunction with CRS, supports a PRB bundle size of 3PRB</w:t>
      </w:r>
      <w:r>
        <w:rPr>
          <w:lang w:val="en-US"/>
        </w:rPr>
        <w:t>.</w:t>
      </w:r>
    </w:p>
    <w:p w:rsidR="00CB1FC8" w:rsidRDefault="00CB1FC8" w:rsidP="00CB1FC8">
      <w:pPr>
        <w:pStyle w:val="Heading1"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References</w:t>
      </w:r>
    </w:p>
    <w:p w:rsidR="004A3B2B" w:rsidRDefault="004A3B2B" w:rsidP="004A3B2B">
      <w:pPr>
        <w:tabs>
          <w:tab w:val="left" w:pos="426"/>
        </w:tabs>
      </w:pPr>
    </w:p>
    <w:p w:rsidR="004A3B2B" w:rsidRDefault="004A3B2B" w:rsidP="004A3B2B">
      <w:pPr>
        <w:tabs>
          <w:tab w:val="left" w:pos="426"/>
        </w:tabs>
        <w:ind w:left="426" w:hanging="426"/>
      </w:pPr>
      <w:r w:rsidRPr="002B6F16">
        <w:t xml:space="preserve">[1] </w:t>
      </w:r>
      <w:r>
        <w:tab/>
      </w:r>
      <w:r w:rsidRPr="00444281">
        <w:t>RP-181450, “New WID on Rel-16 MTC enhancements for LTE”, Ericsson. RAN#80. La Jolla, USA, 11-14 June 2018</w:t>
      </w:r>
      <w:r>
        <w:t>.</w:t>
      </w:r>
    </w:p>
    <w:p w:rsidR="004A3B2B" w:rsidRDefault="004A3B2B" w:rsidP="004A3B2B">
      <w:pPr>
        <w:tabs>
          <w:tab w:val="left" w:pos="426"/>
        </w:tabs>
        <w:ind w:left="426" w:hanging="426"/>
      </w:pPr>
      <w:r>
        <w:t>[2]</w:t>
      </w:r>
      <w:r>
        <w:tab/>
        <w:t>R1-153083. “Performance of MPDCCH with frequency offset”. Sony. RAN1#81. Fukuoka, Japan. May 2015.</w:t>
      </w:r>
    </w:p>
    <w:p w:rsidR="00537CD2" w:rsidRPr="002B6F16" w:rsidRDefault="00537CD2" w:rsidP="004A3B2B">
      <w:pPr>
        <w:tabs>
          <w:tab w:val="left" w:pos="426"/>
        </w:tabs>
        <w:ind w:left="426" w:hanging="426"/>
      </w:pPr>
      <w:r>
        <w:lastRenderedPageBreak/>
        <w:t>[3]</w:t>
      </w:r>
      <w:r>
        <w:tab/>
        <w:t>R1-18</w:t>
      </w:r>
      <w:r w:rsidR="00CB0B6A">
        <w:t>12757</w:t>
      </w:r>
      <w:r>
        <w:t>. “</w:t>
      </w:r>
      <w:r w:rsidRPr="00537CD2">
        <w:t>DMRS to CRS relationship for MPDCCH performance improvement</w:t>
      </w:r>
      <w:r>
        <w:t>”. Sony. RAN1#95. Spokane, USA. November 2018.</w:t>
      </w:r>
    </w:p>
    <w:p w:rsidR="0046012B" w:rsidRPr="0046012B" w:rsidRDefault="0046012B" w:rsidP="00F401B1">
      <w:pPr>
        <w:pStyle w:val="ListParagraph"/>
        <w:spacing w:after="180"/>
        <w:ind w:leftChars="0" w:left="0" w:firstLine="0"/>
      </w:pPr>
    </w:p>
    <w:p w:rsidR="00612213" w:rsidRPr="002B6F16" w:rsidRDefault="00612213" w:rsidP="00323A5B">
      <w:pPr>
        <w:tabs>
          <w:tab w:val="left" w:pos="360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lang w:val="en-US"/>
        </w:rPr>
      </w:pPr>
    </w:p>
    <w:p w:rsidR="00271D28" w:rsidRDefault="00271D28" w:rsidP="007B5EC5"/>
    <w:sectPr w:rsidR="00271D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5B2D" w:rsidRDefault="004E5B2D">
      <w:r>
        <w:separator/>
      </w:r>
    </w:p>
  </w:endnote>
  <w:endnote w:type="continuationSeparator" w:id="0">
    <w:p w:rsidR="004E5B2D" w:rsidRDefault="004E5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5B2D" w:rsidRDefault="004E5B2D">
      <w:r>
        <w:separator/>
      </w:r>
    </w:p>
  </w:footnote>
  <w:footnote w:type="continuationSeparator" w:id="0">
    <w:p w:rsidR="004E5B2D" w:rsidRDefault="004E5B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52D18"/>
    <w:multiLevelType w:val="hybridMultilevel"/>
    <w:tmpl w:val="6E7AD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3737D5D"/>
    <w:multiLevelType w:val="hybridMultilevel"/>
    <w:tmpl w:val="3C2CE150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844DA6"/>
    <w:multiLevelType w:val="hybridMultilevel"/>
    <w:tmpl w:val="FB6E5C26"/>
    <w:lvl w:ilvl="0" w:tplc="5F7EE9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86600C"/>
    <w:multiLevelType w:val="hybridMultilevel"/>
    <w:tmpl w:val="F7784B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3443C4"/>
    <w:multiLevelType w:val="hybridMultilevel"/>
    <w:tmpl w:val="A1526F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376DB4"/>
    <w:multiLevelType w:val="hybridMultilevel"/>
    <w:tmpl w:val="BC8484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3938D2"/>
    <w:multiLevelType w:val="hybridMultilevel"/>
    <w:tmpl w:val="5512F130"/>
    <w:lvl w:ilvl="0" w:tplc="1A241C56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EC6BFD"/>
    <w:multiLevelType w:val="hybridMultilevel"/>
    <w:tmpl w:val="429A9A48"/>
    <w:lvl w:ilvl="0" w:tplc="3D6E1B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633EDF"/>
    <w:multiLevelType w:val="hybridMultilevel"/>
    <w:tmpl w:val="682CD9A8"/>
    <w:lvl w:ilvl="0" w:tplc="04090001">
      <w:start w:val="1"/>
      <w:numFmt w:val="bullet"/>
      <w:lvlText w:val=""/>
      <w:lvlJc w:val="left"/>
      <w:pPr>
        <w:ind w:left="53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0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7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4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1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9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6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3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061" w:hanging="360"/>
      </w:pPr>
      <w:rPr>
        <w:rFonts w:ascii="Wingdings" w:hAnsi="Wingdings" w:hint="default"/>
      </w:rPr>
    </w:lvl>
  </w:abstractNum>
  <w:abstractNum w:abstractNumId="13" w15:restartNumberingAfterBreak="0">
    <w:nsid w:val="2BF3490C"/>
    <w:multiLevelType w:val="hybridMultilevel"/>
    <w:tmpl w:val="47224B58"/>
    <w:lvl w:ilvl="0" w:tplc="36C8178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F3E4A"/>
    <w:multiLevelType w:val="hybridMultilevel"/>
    <w:tmpl w:val="97BA35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E45CD3"/>
    <w:multiLevelType w:val="hybridMultilevel"/>
    <w:tmpl w:val="B7C44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CA38D2"/>
    <w:multiLevelType w:val="hybridMultilevel"/>
    <w:tmpl w:val="0B32D892"/>
    <w:lvl w:ilvl="0" w:tplc="3F5870D4">
      <w:start w:val="7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584CF8"/>
    <w:multiLevelType w:val="hybridMultilevel"/>
    <w:tmpl w:val="2EAE2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9549C4"/>
    <w:multiLevelType w:val="hybridMultilevel"/>
    <w:tmpl w:val="926E140C"/>
    <w:lvl w:ilvl="0" w:tplc="D9E0F340">
      <w:start w:val="1"/>
      <w:numFmt w:val="decimal"/>
      <w:lvlText w:val="[%1]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F21728"/>
    <w:multiLevelType w:val="hybridMultilevel"/>
    <w:tmpl w:val="25E4FD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3B645E"/>
    <w:multiLevelType w:val="hybridMultilevel"/>
    <w:tmpl w:val="6D18C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9202DD"/>
    <w:multiLevelType w:val="hybridMultilevel"/>
    <w:tmpl w:val="EB84B80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3" w15:restartNumberingAfterBreak="0">
    <w:nsid w:val="42550724"/>
    <w:multiLevelType w:val="hybridMultilevel"/>
    <w:tmpl w:val="519ADEE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914C80"/>
    <w:multiLevelType w:val="hybridMultilevel"/>
    <w:tmpl w:val="018EF796"/>
    <w:lvl w:ilvl="0" w:tplc="36C8178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A07F3B"/>
    <w:multiLevelType w:val="hybridMultilevel"/>
    <w:tmpl w:val="8700B3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7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1" w15:restartNumberingAfterBreak="0">
    <w:nsid w:val="57CA2D99"/>
    <w:multiLevelType w:val="hybridMultilevel"/>
    <w:tmpl w:val="0D3C1A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7B341F"/>
    <w:multiLevelType w:val="hybridMultilevel"/>
    <w:tmpl w:val="90F800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B1391B"/>
    <w:multiLevelType w:val="hybridMultilevel"/>
    <w:tmpl w:val="8EFCF73E"/>
    <w:lvl w:ilvl="0" w:tplc="36C8178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480D3D"/>
    <w:multiLevelType w:val="hybridMultilevel"/>
    <w:tmpl w:val="63B474DA"/>
    <w:lvl w:ilvl="0" w:tplc="36C8178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AC12BF3"/>
    <w:multiLevelType w:val="hybridMultilevel"/>
    <w:tmpl w:val="9E720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976655"/>
    <w:multiLevelType w:val="hybridMultilevel"/>
    <w:tmpl w:val="312260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185FC1"/>
    <w:multiLevelType w:val="hybridMultilevel"/>
    <w:tmpl w:val="93F00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0"/>
  </w:num>
  <w:num w:numId="3">
    <w:abstractNumId w:val="22"/>
  </w:num>
  <w:num w:numId="4">
    <w:abstractNumId w:val="8"/>
  </w:num>
  <w:num w:numId="5">
    <w:abstractNumId w:val="28"/>
  </w:num>
  <w:num w:numId="6">
    <w:abstractNumId w:val="11"/>
  </w:num>
  <w:num w:numId="7">
    <w:abstractNumId w:val="4"/>
  </w:num>
  <w:num w:numId="8">
    <w:abstractNumId w:val="1"/>
  </w:num>
  <w:num w:numId="9">
    <w:abstractNumId w:val="20"/>
  </w:num>
  <w:num w:numId="10">
    <w:abstractNumId w:val="0"/>
  </w:num>
  <w:num w:numId="11">
    <w:abstractNumId w:val="7"/>
  </w:num>
  <w:num w:numId="12">
    <w:abstractNumId w:val="31"/>
  </w:num>
  <w:num w:numId="13">
    <w:abstractNumId w:val="3"/>
  </w:num>
  <w:num w:numId="14">
    <w:abstractNumId w:val="2"/>
  </w:num>
  <w:num w:numId="15">
    <w:abstractNumId w:val="36"/>
  </w:num>
  <w:num w:numId="16">
    <w:abstractNumId w:val="5"/>
  </w:num>
  <w:num w:numId="17">
    <w:abstractNumId w:val="25"/>
  </w:num>
  <w:num w:numId="18">
    <w:abstractNumId w:val="9"/>
  </w:num>
  <w:num w:numId="19">
    <w:abstractNumId w:val="26"/>
  </w:num>
  <w:num w:numId="20">
    <w:abstractNumId w:val="32"/>
  </w:num>
  <w:num w:numId="21">
    <w:abstractNumId w:val="14"/>
  </w:num>
  <w:num w:numId="22">
    <w:abstractNumId w:val="39"/>
  </w:num>
  <w:num w:numId="23">
    <w:abstractNumId w:val="15"/>
  </w:num>
  <w:num w:numId="24">
    <w:abstractNumId w:val="37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16"/>
  </w:num>
  <w:num w:numId="28">
    <w:abstractNumId w:val="29"/>
  </w:num>
  <w:num w:numId="29">
    <w:abstractNumId w:val="23"/>
  </w:num>
  <w:num w:numId="30">
    <w:abstractNumId w:val="12"/>
  </w:num>
  <w:num w:numId="31">
    <w:abstractNumId w:val="10"/>
  </w:num>
  <w:num w:numId="32">
    <w:abstractNumId w:val="21"/>
  </w:num>
  <w:num w:numId="33">
    <w:abstractNumId w:val="19"/>
  </w:num>
  <w:num w:numId="34">
    <w:abstractNumId w:val="33"/>
  </w:num>
  <w:num w:numId="35">
    <w:abstractNumId w:val="13"/>
  </w:num>
  <w:num w:numId="36">
    <w:abstractNumId w:val="34"/>
  </w:num>
  <w:num w:numId="37">
    <w:abstractNumId w:val="24"/>
  </w:num>
  <w:num w:numId="38">
    <w:abstractNumId w:val="6"/>
  </w:num>
  <w:num w:numId="39">
    <w:abstractNumId w:val="38"/>
  </w:num>
  <w:num w:numId="40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45"/>
  <w:drawingGridVerticalSpacing w:val="45"/>
  <w:displayHorizontalDrawingGridEvery w:val="4"/>
  <w:displayVerticalDrawingGridEvery w:val="4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0D7"/>
    <w:rsid w:val="000064AC"/>
    <w:rsid w:val="00010160"/>
    <w:rsid w:val="00021514"/>
    <w:rsid w:val="00041C17"/>
    <w:rsid w:val="00042F39"/>
    <w:rsid w:val="00045655"/>
    <w:rsid w:val="00055B93"/>
    <w:rsid w:val="00064FF5"/>
    <w:rsid w:val="00074926"/>
    <w:rsid w:val="00090E18"/>
    <w:rsid w:val="000A4D1B"/>
    <w:rsid w:val="000C1CD5"/>
    <w:rsid w:val="000D21FF"/>
    <w:rsid w:val="000D2439"/>
    <w:rsid w:val="000E3276"/>
    <w:rsid w:val="0011313E"/>
    <w:rsid w:val="0011353F"/>
    <w:rsid w:val="0012497A"/>
    <w:rsid w:val="001256D6"/>
    <w:rsid w:val="00146F73"/>
    <w:rsid w:val="00147AA0"/>
    <w:rsid w:val="001A0622"/>
    <w:rsid w:val="001A56CB"/>
    <w:rsid w:val="001B0657"/>
    <w:rsid w:val="001B16B7"/>
    <w:rsid w:val="001B4CF9"/>
    <w:rsid w:val="001B5E0E"/>
    <w:rsid w:val="001C0612"/>
    <w:rsid w:val="001C467A"/>
    <w:rsid w:val="001F4C60"/>
    <w:rsid w:val="00207C7C"/>
    <w:rsid w:val="00216F8A"/>
    <w:rsid w:val="002327BC"/>
    <w:rsid w:val="002442EC"/>
    <w:rsid w:val="002622AF"/>
    <w:rsid w:val="00263346"/>
    <w:rsid w:val="00271D28"/>
    <w:rsid w:val="00271F55"/>
    <w:rsid w:val="0027219C"/>
    <w:rsid w:val="002838DB"/>
    <w:rsid w:val="00286A3D"/>
    <w:rsid w:val="00292CF9"/>
    <w:rsid w:val="00295CDA"/>
    <w:rsid w:val="00295D4C"/>
    <w:rsid w:val="002A5333"/>
    <w:rsid w:val="002B5BDF"/>
    <w:rsid w:val="002B6F16"/>
    <w:rsid w:val="002C6F29"/>
    <w:rsid w:val="002E2219"/>
    <w:rsid w:val="00300392"/>
    <w:rsid w:val="00304C7E"/>
    <w:rsid w:val="00305075"/>
    <w:rsid w:val="00315AE2"/>
    <w:rsid w:val="00317E53"/>
    <w:rsid w:val="00321189"/>
    <w:rsid w:val="00323A5B"/>
    <w:rsid w:val="00326165"/>
    <w:rsid w:val="00331572"/>
    <w:rsid w:val="003328E7"/>
    <w:rsid w:val="003357FE"/>
    <w:rsid w:val="0033744E"/>
    <w:rsid w:val="00342CBB"/>
    <w:rsid w:val="0034424F"/>
    <w:rsid w:val="00360B15"/>
    <w:rsid w:val="00374332"/>
    <w:rsid w:val="00384979"/>
    <w:rsid w:val="00391C1B"/>
    <w:rsid w:val="003B0F95"/>
    <w:rsid w:val="003B7BB1"/>
    <w:rsid w:val="003B7E45"/>
    <w:rsid w:val="003C1390"/>
    <w:rsid w:val="003C3C7D"/>
    <w:rsid w:val="003C66A2"/>
    <w:rsid w:val="003D1D6C"/>
    <w:rsid w:val="00413977"/>
    <w:rsid w:val="00444281"/>
    <w:rsid w:val="004443C6"/>
    <w:rsid w:val="00446058"/>
    <w:rsid w:val="004465C3"/>
    <w:rsid w:val="0045764A"/>
    <w:rsid w:val="0046012B"/>
    <w:rsid w:val="00485182"/>
    <w:rsid w:val="004932F6"/>
    <w:rsid w:val="004A3B2B"/>
    <w:rsid w:val="004A7367"/>
    <w:rsid w:val="004C4164"/>
    <w:rsid w:val="004C68E9"/>
    <w:rsid w:val="004D3FF6"/>
    <w:rsid w:val="004D56EC"/>
    <w:rsid w:val="004E5B2D"/>
    <w:rsid w:val="004E74AC"/>
    <w:rsid w:val="004E78F2"/>
    <w:rsid w:val="00525467"/>
    <w:rsid w:val="00527885"/>
    <w:rsid w:val="00532096"/>
    <w:rsid w:val="00537CD2"/>
    <w:rsid w:val="0054098D"/>
    <w:rsid w:val="00551474"/>
    <w:rsid w:val="005531BF"/>
    <w:rsid w:val="005612B8"/>
    <w:rsid w:val="0056236A"/>
    <w:rsid w:val="00571DC0"/>
    <w:rsid w:val="00580ABA"/>
    <w:rsid w:val="005A5993"/>
    <w:rsid w:val="005A7E84"/>
    <w:rsid w:val="005C240D"/>
    <w:rsid w:val="005C689D"/>
    <w:rsid w:val="005C75F3"/>
    <w:rsid w:val="005E3166"/>
    <w:rsid w:val="005F0B7A"/>
    <w:rsid w:val="005F358F"/>
    <w:rsid w:val="00607859"/>
    <w:rsid w:val="00612213"/>
    <w:rsid w:val="006205AD"/>
    <w:rsid w:val="00622EDB"/>
    <w:rsid w:val="006257A2"/>
    <w:rsid w:val="0063009F"/>
    <w:rsid w:val="006312FF"/>
    <w:rsid w:val="006346E4"/>
    <w:rsid w:val="00634CB1"/>
    <w:rsid w:val="00652EB2"/>
    <w:rsid w:val="00653572"/>
    <w:rsid w:val="00660E1B"/>
    <w:rsid w:val="00665F46"/>
    <w:rsid w:val="0067466A"/>
    <w:rsid w:val="00683676"/>
    <w:rsid w:val="006A1D74"/>
    <w:rsid w:val="006B65DF"/>
    <w:rsid w:val="006B7490"/>
    <w:rsid w:val="006C113D"/>
    <w:rsid w:val="006C2A2B"/>
    <w:rsid w:val="006D0EAA"/>
    <w:rsid w:val="006D3F0D"/>
    <w:rsid w:val="006D5639"/>
    <w:rsid w:val="006F378C"/>
    <w:rsid w:val="00702434"/>
    <w:rsid w:val="007112A9"/>
    <w:rsid w:val="007268A3"/>
    <w:rsid w:val="00736356"/>
    <w:rsid w:val="007560EA"/>
    <w:rsid w:val="007627D8"/>
    <w:rsid w:val="00767B16"/>
    <w:rsid w:val="007823E3"/>
    <w:rsid w:val="00793E69"/>
    <w:rsid w:val="007976AC"/>
    <w:rsid w:val="00797A81"/>
    <w:rsid w:val="007A0C9E"/>
    <w:rsid w:val="007B52C4"/>
    <w:rsid w:val="007B5EC5"/>
    <w:rsid w:val="007D1341"/>
    <w:rsid w:val="007D7DBC"/>
    <w:rsid w:val="007E1797"/>
    <w:rsid w:val="007E423C"/>
    <w:rsid w:val="007E5F60"/>
    <w:rsid w:val="007F1CD0"/>
    <w:rsid w:val="0080203A"/>
    <w:rsid w:val="00834474"/>
    <w:rsid w:val="008412C8"/>
    <w:rsid w:val="00843EAA"/>
    <w:rsid w:val="00843FE7"/>
    <w:rsid w:val="0085109C"/>
    <w:rsid w:val="008558B4"/>
    <w:rsid w:val="00856712"/>
    <w:rsid w:val="0085705C"/>
    <w:rsid w:val="00870C11"/>
    <w:rsid w:val="00892AB6"/>
    <w:rsid w:val="008A1F90"/>
    <w:rsid w:val="008A2797"/>
    <w:rsid w:val="008B161F"/>
    <w:rsid w:val="008E0241"/>
    <w:rsid w:val="008F0542"/>
    <w:rsid w:val="0090032D"/>
    <w:rsid w:val="00906D85"/>
    <w:rsid w:val="009219A2"/>
    <w:rsid w:val="009661A9"/>
    <w:rsid w:val="009712AB"/>
    <w:rsid w:val="00983987"/>
    <w:rsid w:val="0098512B"/>
    <w:rsid w:val="009851C9"/>
    <w:rsid w:val="00986F22"/>
    <w:rsid w:val="00993EB1"/>
    <w:rsid w:val="00994499"/>
    <w:rsid w:val="009B0461"/>
    <w:rsid w:val="009B7AE3"/>
    <w:rsid w:val="009C52D8"/>
    <w:rsid w:val="009E059E"/>
    <w:rsid w:val="009E1DC2"/>
    <w:rsid w:val="00A02888"/>
    <w:rsid w:val="00A06782"/>
    <w:rsid w:val="00A10BB6"/>
    <w:rsid w:val="00A13BDB"/>
    <w:rsid w:val="00A15637"/>
    <w:rsid w:val="00A20BF2"/>
    <w:rsid w:val="00A37BF4"/>
    <w:rsid w:val="00A60961"/>
    <w:rsid w:val="00A74D54"/>
    <w:rsid w:val="00A9091B"/>
    <w:rsid w:val="00AA2D9D"/>
    <w:rsid w:val="00AD1DE4"/>
    <w:rsid w:val="00AD253E"/>
    <w:rsid w:val="00AD2BE8"/>
    <w:rsid w:val="00AE295E"/>
    <w:rsid w:val="00AE6047"/>
    <w:rsid w:val="00AE6711"/>
    <w:rsid w:val="00AF60A5"/>
    <w:rsid w:val="00B04285"/>
    <w:rsid w:val="00B16F29"/>
    <w:rsid w:val="00B171EE"/>
    <w:rsid w:val="00B22774"/>
    <w:rsid w:val="00B34846"/>
    <w:rsid w:val="00B36B3E"/>
    <w:rsid w:val="00B43088"/>
    <w:rsid w:val="00B465DA"/>
    <w:rsid w:val="00B50179"/>
    <w:rsid w:val="00B539E3"/>
    <w:rsid w:val="00B63DC3"/>
    <w:rsid w:val="00B6504E"/>
    <w:rsid w:val="00B827F3"/>
    <w:rsid w:val="00B874C1"/>
    <w:rsid w:val="00BB087B"/>
    <w:rsid w:val="00BD2D7A"/>
    <w:rsid w:val="00C07F9F"/>
    <w:rsid w:val="00C31121"/>
    <w:rsid w:val="00C50C75"/>
    <w:rsid w:val="00C5204E"/>
    <w:rsid w:val="00C5624E"/>
    <w:rsid w:val="00C8046B"/>
    <w:rsid w:val="00C87B4C"/>
    <w:rsid w:val="00CA0700"/>
    <w:rsid w:val="00CA279F"/>
    <w:rsid w:val="00CB0B6A"/>
    <w:rsid w:val="00CB1FC8"/>
    <w:rsid w:val="00CB42F1"/>
    <w:rsid w:val="00CB4CA8"/>
    <w:rsid w:val="00CB6907"/>
    <w:rsid w:val="00CC608C"/>
    <w:rsid w:val="00CC6E7B"/>
    <w:rsid w:val="00CE10DE"/>
    <w:rsid w:val="00CF5174"/>
    <w:rsid w:val="00D07C40"/>
    <w:rsid w:val="00D378E6"/>
    <w:rsid w:val="00D40B14"/>
    <w:rsid w:val="00D550D7"/>
    <w:rsid w:val="00D80E86"/>
    <w:rsid w:val="00DA23C7"/>
    <w:rsid w:val="00DC28B9"/>
    <w:rsid w:val="00DC7653"/>
    <w:rsid w:val="00DF325C"/>
    <w:rsid w:val="00E063CC"/>
    <w:rsid w:val="00E15C02"/>
    <w:rsid w:val="00E30990"/>
    <w:rsid w:val="00E351E4"/>
    <w:rsid w:val="00E53B35"/>
    <w:rsid w:val="00E558E4"/>
    <w:rsid w:val="00E601B7"/>
    <w:rsid w:val="00E72BF5"/>
    <w:rsid w:val="00E83D24"/>
    <w:rsid w:val="00E85568"/>
    <w:rsid w:val="00E86FED"/>
    <w:rsid w:val="00E97A46"/>
    <w:rsid w:val="00EB0688"/>
    <w:rsid w:val="00EB2993"/>
    <w:rsid w:val="00EC5B09"/>
    <w:rsid w:val="00EC7B4D"/>
    <w:rsid w:val="00ED0A02"/>
    <w:rsid w:val="00EF385B"/>
    <w:rsid w:val="00F322A9"/>
    <w:rsid w:val="00F401B1"/>
    <w:rsid w:val="00F52859"/>
    <w:rsid w:val="00F819BA"/>
    <w:rsid w:val="00F95C54"/>
    <w:rsid w:val="00FA622F"/>
    <w:rsid w:val="00FB6FAF"/>
    <w:rsid w:val="00FC2894"/>
    <w:rsid w:val="00FC43E2"/>
    <w:rsid w:val="00FE5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35ADD7"/>
  <w15:chartTrackingRefBased/>
  <w15:docId w15:val="{11E5C0E7-89ED-4C85-8C48-26B2F7477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90E18"/>
    <w:pPr>
      <w:spacing w:after="160"/>
    </w:pPr>
    <w:rPr>
      <w:sz w:val="22"/>
      <w:lang w:eastAsia="en-US"/>
    </w:rPr>
  </w:style>
  <w:style w:type="paragraph" w:styleId="Heading1">
    <w:name w:val="heading 1"/>
    <w:aliases w:val="H1,h1"/>
    <w:basedOn w:val="Normal"/>
    <w:next w:val="Normal"/>
    <w:qFormat/>
    <w:rsid w:val="00074926"/>
    <w:pPr>
      <w:keepNext/>
      <w:spacing w:after="240"/>
      <w:ind w:left="1985" w:right="284" w:hanging="1985"/>
      <w:outlineLvl w:val="0"/>
    </w:pPr>
    <w:rPr>
      <w:rFonts w:ascii="Arial" w:hAnsi="Arial"/>
      <w:b/>
      <w:sz w:val="32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50D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550D7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rsid w:val="00E72BF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74C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B874C1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874C1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3B7E45"/>
    <w:rPr>
      <w:lang w:eastAsia="en-US"/>
    </w:rPr>
  </w:style>
  <w:style w:type="paragraph" w:customStyle="1" w:styleId="CRCoverPage">
    <w:name w:val="CR Cover Page"/>
    <w:rsid w:val="003B7BB1"/>
    <w:pPr>
      <w:spacing w:after="120"/>
    </w:pPr>
    <w:rPr>
      <w:rFonts w:ascii="Arial" w:eastAsia="MS Mincho" w:hAnsi="Arial"/>
      <w:lang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"/>
    <w:basedOn w:val="Normal"/>
    <w:link w:val="ListParagraphChar"/>
    <w:uiPriority w:val="34"/>
    <w:qFormat/>
    <w:rsid w:val="007B5EC5"/>
    <w:pPr>
      <w:ind w:leftChars="400" w:left="840" w:hanging="720"/>
    </w:pPr>
    <w:rPr>
      <w:rFonts w:ascii="Times" w:eastAsia="Batang" w:hAnsi="Times"/>
      <w:sz w:val="20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"/>
    <w:link w:val="ListParagraph"/>
    <w:uiPriority w:val="34"/>
    <w:qFormat/>
    <w:rsid w:val="007B5EC5"/>
    <w:rPr>
      <w:rFonts w:ascii="Times" w:eastAsia="Batang" w:hAnsi="Times"/>
      <w:szCs w:val="24"/>
      <w:lang w:eastAsia="x-none"/>
    </w:rPr>
  </w:style>
  <w:style w:type="paragraph" w:styleId="Caption">
    <w:name w:val="caption"/>
    <w:basedOn w:val="Normal"/>
    <w:next w:val="Normal"/>
    <w:uiPriority w:val="35"/>
    <w:qFormat/>
    <w:rsid w:val="00EB0688"/>
    <w:pPr>
      <w:spacing w:before="120" w:after="120" w:line="259" w:lineRule="auto"/>
    </w:pPr>
    <w:rPr>
      <w:rFonts w:ascii="Calibri" w:eastAsia="Calibri" w:hAnsi="Calibri"/>
      <w:b/>
      <w:szCs w:val="22"/>
    </w:rPr>
  </w:style>
  <w:style w:type="paragraph" w:customStyle="1" w:styleId="B2">
    <w:name w:val="B2"/>
    <w:basedOn w:val="List2"/>
    <w:rsid w:val="00A60961"/>
    <w:pPr>
      <w:spacing w:after="180"/>
      <w:ind w:left="851" w:hanging="284"/>
      <w:contextualSpacing w:val="0"/>
    </w:pPr>
    <w:rPr>
      <w:rFonts w:eastAsia="Times New Roman"/>
      <w:sz w:val="20"/>
    </w:rPr>
  </w:style>
  <w:style w:type="paragraph" w:styleId="List2">
    <w:name w:val="List 2"/>
    <w:basedOn w:val="Normal"/>
    <w:uiPriority w:val="99"/>
    <w:semiHidden/>
    <w:unhideWhenUsed/>
    <w:rsid w:val="00A60961"/>
    <w:pPr>
      <w:ind w:left="566" w:hanging="283"/>
      <w:contextualSpacing/>
    </w:pPr>
  </w:style>
  <w:style w:type="table" w:styleId="TableGrid">
    <w:name w:val="Table Grid"/>
    <w:basedOn w:val="TableNormal"/>
    <w:uiPriority w:val="39"/>
    <w:rsid w:val="00B36B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sal">
    <w:name w:val="Proposal"/>
    <w:basedOn w:val="Normal"/>
    <w:link w:val="ProposalChar"/>
    <w:qFormat/>
    <w:rsid w:val="00446058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sz w:val="20"/>
      <w:lang w:eastAsia="zh-CN"/>
    </w:rPr>
  </w:style>
  <w:style w:type="character" w:customStyle="1" w:styleId="ProposalChar">
    <w:name w:val="Proposal Char"/>
    <w:link w:val="Proposal"/>
    <w:qFormat/>
    <w:rsid w:val="00446058"/>
    <w:rPr>
      <w:rFonts w:eastAsia="Times New Roman"/>
      <w:b/>
      <w:bCs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E83D2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9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06654-FA45-4537-B5F8-D8EC5F847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CTPClassification=CTP_PUBLIC:VisualMarkings=</cp:keywords>
  <dc:description/>
  <cp:lastModifiedBy>Beale, Martin</cp:lastModifiedBy>
  <cp:revision>2</cp:revision>
  <cp:lastPrinted>2002-04-23T09:10:00Z</cp:lastPrinted>
  <dcterms:created xsi:type="dcterms:W3CDTF">2019-02-15T23:04:00Z</dcterms:created>
  <dcterms:modified xsi:type="dcterms:W3CDTF">2019-02-15T23:04:00Z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(2)fBg2ETDo01Yz9/oCzmNnFktvI57FWn5lpczeY90h8UAyUrV3iQecNJ38ppEYTDAwJIkJgcJ9_x000d_
Fgu+pUw9MvhZz0FlYOgUT/jrH5xZ68xGa6Xw0MpmeV+HGirZ61ZemwOJ1Z3wT6MxwOzzbTFG_x000d_
aYt9Lzi5KWOGjBowXWqEXXV+t/KsiJI6+Ufk2bxdYH3eyjxsLw3XKXy0I/eGNTnbfIBjUZ+G_x000d_
8I5tg0p5HXgrCCvRaW</vt:lpwstr>
  </property>
  <property fmtid="{D5CDD505-2E9C-101B-9397-08002B2CF9AE}" pid="3" name="_2015_ms_pID_7253431">
    <vt:lpwstr>IAawfk9vNNvwtfcZEfL8gnz4Imum7Yqw207kZvNUGGX0VQBSllEpPc_x000d_
9K0vQt8ouM1mMvcmOR4TcRhaASdd2GbQ5X5T8L+WROk92IHTno2DN99aNzpasGvf77qM9Owl_x000d_
ch4pzRwRQI/X4MRlKA8w5KEyaJMCzLBaiIPkV34pROSF6rI+qzIv9wqtdpFm9uGONa0QkdWs_x000d_
hTLOqO4crf+iy9TC</vt:lpwstr>
  </property>
  <property fmtid="{D5CDD505-2E9C-101B-9397-08002B2CF9AE}" pid="4" name="TitusGUID">
    <vt:lpwstr>575bcc5d-d1c0-4476-a237-b52da6fb6a42</vt:lpwstr>
  </property>
  <property fmtid="{D5CDD505-2E9C-101B-9397-08002B2CF9AE}" pid="5" name="CTP_TimeStamp">
    <vt:lpwstr>2017-12-01 22:51:08Z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1525221332</vt:lpwstr>
  </property>
  <property fmtid="{D5CDD505-2E9C-101B-9397-08002B2CF9AE}" pid="15" name="_2015_ms_pID_725343_00">
    <vt:lpwstr>_2015_ms_pID_725343</vt:lpwstr>
  </property>
  <property fmtid="{D5CDD505-2E9C-101B-9397-08002B2CF9AE}" pid="16" name="_2015_ms_pID_7253431_00">
    <vt:lpwstr>_2015_ms_pID_7253431</vt:lpwstr>
  </property>
</Properties>
</file>